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1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322" w:right="279" w:firstLine="0"/>
        <w:jc w:val="center"/>
        <w:rPr>
          <w:b/>
          <w:sz w:val="24"/>
        </w:rPr>
      </w:pPr>
      <w:r>
        <w:rPr>
          <w:b/>
          <w:sz w:val="24"/>
        </w:rPr>
        <w:t>CONVOCATORIA OPD/CMD/025</w:t>
      </w:r>
    </w:p>
    <w:p>
      <w:pPr>
        <w:spacing w:line="240" w:lineRule="auto" w:before="120"/>
        <w:ind w:left="322" w:right="284" w:firstLine="0"/>
        <w:jc w:val="center"/>
        <w:rPr>
          <w:sz w:val="24"/>
        </w:rPr>
      </w:pPr>
      <w:r>
        <w:rPr>
          <w:sz w:val="24"/>
        </w:rPr>
        <w:t>“SERVICIO DE JUECEO, ACTO DE CEREMONIAS Y LOGÍSTICA PARA LA SEGUNDA COPA DE GIMNASIA 2019 PARA EL CONSEJO MUNICIPAL DEL DEPORTE DE TLAJOMULCO DE ZÚÑIGA, JALISCO”</w:t>
      </w:r>
    </w:p>
    <w:p>
      <w:pPr>
        <w:pStyle w:val="BodyText"/>
        <w:spacing w:before="6"/>
        <w:ind w:left="0"/>
        <w:jc w:val="left"/>
        <w:rPr>
          <w:sz w:val="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rPr>
                <w:sz w:val="18"/>
              </w:rPr>
            </w:pPr>
            <w:r>
              <w:rPr>
                <w:sz w:val="18"/>
              </w:rPr>
              <w:t>Fecha Publicación</w:t>
            </w:r>
          </w:p>
        </w:tc>
        <w:tc>
          <w:tcPr>
            <w:tcW w:w="4492" w:type="dxa"/>
          </w:tcPr>
          <w:p>
            <w:pPr>
              <w:pStyle w:val="TableParagraph"/>
              <w:spacing w:line="208" w:lineRule="exact"/>
              <w:rPr>
                <w:sz w:val="18"/>
              </w:rPr>
            </w:pPr>
            <w:r>
              <w:rPr>
                <w:sz w:val="18"/>
              </w:rPr>
              <w:t>14 de mayo de 2019</w:t>
            </w:r>
          </w:p>
        </w:tc>
      </w:tr>
      <w:tr>
        <w:trPr>
          <w:trHeight w:val="458" w:hRule="atLeast"/>
        </w:trPr>
        <w:tc>
          <w:tcPr>
            <w:tcW w:w="4489" w:type="dxa"/>
          </w:tcPr>
          <w:p>
            <w:pPr>
              <w:pStyle w:val="TableParagraph"/>
              <w:spacing w:before="1"/>
              <w:rPr>
                <w:sz w:val="18"/>
              </w:rPr>
            </w:pPr>
            <w:r>
              <w:rPr>
                <w:sz w:val="18"/>
              </w:rPr>
              <w:t>Aclaraciones</w:t>
            </w:r>
          </w:p>
        </w:tc>
        <w:tc>
          <w:tcPr>
            <w:tcW w:w="4492" w:type="dxa"/>
          </w:tcPr>
          <w:p>
            <w:pPr>
              <w:pStyle w:val="TableParagraph"/>
              <w:spacing w:line="228" w:lineRule="exact" w:before="1"/>
              <w:rPr>
                <w:sz w:val="18"/>
              </w:rPr>
            </w:pPr>
            <w:r>
              <w:rPr>
                <w:sz w:val="18"/>
              </w:rPr>
              <w:t>Al teléfono 01 (33) 32 83 44 00 Ext. 3260</w:t>
            </w:r>
          </w:p>
          <w:p>
            <w:pPr>
              <w:pStyle w:val="TableParagraph"/>
              <w:spacing w:line="209" w:lineRule="exact"/>
              <w:rPr>
                <w:sz w:val="18"/>
              </w:rPr>
            </w:pPr>
            <w:r>
              <w:rPr>
                <w:sz w:val="18"/>
              </w:rPr>
              <w:t>Oficinas COMUDE Tlajomulco</w:t>
            </w:r>
          </w:p>
        </w:tc>
      </w:tr>
      <w:tr>
        <w:trPr>
          <w:trHeight w:val="458" w:hRule="atLeast"/>
        </w:trPr>
        <w:tc>
          <w:tcPr>
            <w:tcW w:w="4489" w:type="dxa"/>
          </w:tcPr>
          <w:p>
            <w:pPr>
              <w:pStyle w:val="TableParagraph"/>
              <w:spacing w:line="227" w:lineRule="exact"/>
              <w:rPr>
                <w:sz w:val="18"/>
              </w:rPr>
            </w:pPr>
            <w:r>
              <w:rPr>
                <w:sz w:val="18"/>
              </w:rPr>
              <w:t>Fecha y hora límite para entrega de propuestas</w:t>
            </w:r>
          </w:p>
        </w:tc>
        <w:tc>
          <w:tcPr>
            <w:tcW w:w="4492" w:type="dxa"/>
          </w:tcPr>
          <w:p>
            <w:pPr>
              <w:pStyle w:val="TableParagraph"/>
              <w:spacing w:line="227" w:lineRule="exact"/>
              <w:rPr>
                <w:sz w:val="18"/>
              </w:rPr>
            </w:pPr>
            <w:r>
              <w:rPr>
                <w:sz w:val="18"/>
              </w:rPr>
              <w:t>23 de mayo de 2019 13:00 Oficinas de Contraloría</w:t>
            </w:r>
          </w:p>
          <w:p>
            <w:pPr>
              <w:pStyle w:val="TableParagraph"/>
              <w:spacing w:line="209" w:lineRule="exact" w:before="1"/>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492" w:type="dxa"/>
          </w:tcPr>
          <w:p>
            <w:pPr>
              <w:pStyle w:val="TableParagraph"/>
              <w:spacing w:line="227" w:lineRule="exact"/>
              <w:rPr>
                <w:sz w:val="18"/>
              </w:rPr>
            </w:pPr>
            <w:r>
              <w:rPr>
                <w:sz w:val="18"/>
              </w:rPr>
              <w:t>23 de mayo de 2019 13:00 Oficinas de Contraloría</w:t>
            </w:r>
          </w:p>
          <w:p>
            <w:pPr>
              <w:pStyle w:val="TableParagraph"/>
              <w:spacing w:line="209" w:lineRule="exact" w:before="1"/>
              <w:ind w:left="815"/>
              <w:rPr>
                <w:sz w:val="18"/>
              </w:rPr>
            </w:pPr>
            <w:r>
              <w:rPr>
                <w:sz w:val="18"/>
              </w:rPr>
              <w:t>Tlajomulco</w:t>
            </w:r>
          </w:p>
        </w:tc>
      </w:tr>
      <w:tr>
        <w:trPr>
          <w:trHeight w:val="457" w:hRule="atLeast"/>
        </w:trPr>
        <w:tc>
          <w:tcPr>
            <w:tcW w:w="4489" w:type="dxa"/>
          </w:tcPr>
          <w:p>
            <w:pPr>
              <w:pStyle w:val="TableParagraph"/>
              <w:spacing w:line="227" w:lineRule="exact"/>
              <w:rPr>
                <w:sz w:val="18"/>
              </w:rPr>
            </w:pPr>
            <w:r>
              <w:rPr>
                <w:sz w:val="18"/>
              </w:rPr>
              <w:t>Resolución del ganador</w:t>
            </w:r>
          </w:p>
        </w:tc>
        <w:tc>
          <w:tcPr>
            <w:tcW w:w="4492" w:type="dxa"/>
          </w:tcPr>
          <w:p>
            <w:pPr>
              <w:pStyle w:val="TableParagraph"/>
              <w:spacing w:line="227" w:lineRule="exact"/>
              <w:rPr>
                <w:sz w:val="18"/>
              </w:rPr>
            </w:pPr>
            <w:r>
              <w:rPr>
                <w:sz w:val="18"/>
              </w:rPr>
              <w:t>Desde la fecha de apertura de propuestas o hasta 20</w:t>
            </w:r>
          </w:p>
          <w:p>
            <w:pPr>
              <w:pStyle w:val="TableParagraph"/>
              <w:spacing w:line="209" w:lineRule="exact" w:before="1"/>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0"/>
        <w:ind w:left="0"/>
        <w:jc w:val="left"/>
        <w:rPr>
          <w:b/>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4"/>
        <w:gridCol w:w="1217"/>
        <w:gridCol w:w="1278"/>
        <w:gridCol w:w="5500"/>
      </w:tblGrid>
      <w:tr>
        <w:trPr>
          <w:trHeight w:val="582" w:hRule="atLeast"/>
        </w:trPr>
        <w:tc>
          <w:tcPr>
            <w:tcW w:w="924" w:type="dxa"/>
          </w:tcPr>
          <w:p>
            <w:pPr>
              <w:pStyle w:val="TableParagraph"/>
              <w:spacing w:before="9"/>
              <w:ind w:left="0"/>
              <w:rPr>
                <w:b/>
                <w:sz w:val="14"/>
              </w:rPr>
            </w:pPr>
          </w:p>
          <w:p>
            <w:pPr>
              <w:pStyle w:val="TableParagraph"/>
              <w:ind w:left="95" w:right="88"/>
              <w:jc w:val="center"/>
              <w:rPr>
                <w:b/>
                <w:sz w:val="16"/>
              </w:rPr>
            </w:pPr>
            <w:r>
              <w:rPr>
                <w:b/>
                <w:sz w:val="16"/>
              </w:rPr>
              <w:t>PARTIDA</w:t>
            </w:r>
          </w:p>
        </w:tc>
        <w:tc>
          <w:tcPr>
            <w:tcW w:w="1217" w:type="dxa"/>
          </w:tcPr>
          <w:p>
            <w:pPr>
              <w:pStyle w:val="TableParagraph"/>
              <w:spacing w:before="9"/>
              <w:ind w:left="0"/>
              <w:rPr>
                <w:b/>
                <w:sz w:val="14"/>
              </w:rPr>
            </w:pPr>
          </w:p>
          <w:p>
            <w:pPr>
              <w:pStyle w:val="TableParagraph"/>
              <w:ind w:left="172" w:right="162"/>
              <w:jc w:val="center"/>
              <w:rPr>
                <w:b/>
                <w:sz w:val="16"/>
              </w:rPr>
            </w:pPr>
            <w:r>
              <w:rPr>
                <w:b/>
                <w:sz w:val="16"/>
              </w:rPr>
              <w:t>CANTIDAD</w:t>
            </w:r>
          </w:p>
        </w:tc>
        <w:tc>
          <w:tcPr>
            <w:tcW w:w="1278" w:type="dxa"/>
          </w:tcPr>
          <w:p>
            <w:pPr>
              <w:pStyle w:val="TableParagraph"/>
              <w:spacing w:before="86"/>
              <w:ind w:left="316" w:right="168" w:hanging="125"/>
              <w:rPr>
                <w:b/>
                <w:sz w:val="16"/>
              </w:rPr>
            </w:pPr>
            <w:r>
              <w:rPr>
                <w:b/>
                <w:sz w:val="16"/>
              </w:rPr>
              <w:t>UNIDAD DE MEDIDA</w:t>
            </w:r>
          </w:p>
        </w:tc>
        <w:tc>
          <w:tcPr>
            <w:tcW w:w="5500" w:type="dxa"/>
          </w:tcPr>
          <w:p>
            <w:pPr>
              <w:pStyle w:val="TableParagraph"/>
              <w:spacing w:before="9"/>
              <w:ind w:left="0"/>
              <w:rPr>
                <w:b/>
                <w:sz w:val="14"/>
              </w:rPr>
            </w:pPr>
          </w:p>
          <w:p>
            <w:pPr>
              <w:pStyle w:val="TableParagraph"/>
              <w:ind w:left="2204" w:right="2201"/>
              <w:jc w:val="center"/>
              <w:rPr>
                <w:b/>
                <w:sz w:val="16"/>
              </w:rPr>
            </w:pPr>
            <w:r>
              <w:rPr>
                <w:b/>
                <w:sz w:val="16"/>
              </w:rPr>
              <w:t>DESCRIPCIÓN</w:t>
            </w:r>
          </w:p>
        </w:tc>
      </w:tr>
      <w:tr>
        <w:trPr>
          <w:trHeight w:val="914" w:hRule="atLeast"/>
        </w:trPr>
        <w:tc>
          <w:tcPr>
            <w:tcW w:w="924" w:type="dxa"/>
          </w:tcPr>
          <w:p>
            <w:pPr>
              <w:pStyle w:val="TableParagraph"/>
              <w:spacing w:before="11"/>
              <w:ind w:left="0"/>
              <w:rPr>
                <w:b/>
                <w:sz w:val="26"/>
              </w:rPr>
            </w:pPr>
          </w:p>
          <w:p>
            <w:pPr>
              <w:pStyle w:val="TableParagraph"/>
              <w:ind w:left="8"/>
              <w:jc w:val="center"/>
              <w:rPr>
                <w:sz w:val="18"/>
              </w:rPr>
            </w:pPr>
            <w:r>
              <w:rPr>
                <w:sz w:val="18"/>
              </w:rPr>
              <w:t>1</w:t>
            </w:r>
          </w:p>
        </w:tc>
        <w:tc>
          <w:tcPr>
            <w:tcW w:w="1217" w:type="dxa"/>
          </w:tcPr>
          <w:p>
            <w:pPr>
              <w:pStyle w:val="TableParagraph"/>
              <w:spacing w:before="11"/>
              <w:ind w:left="0"/>
              <w:rPr>
                <w:b/>
                <w:sz w:val="26"/>
              </w:rPr>
            </w:pPr>
          </w:p>
          <w:p>
            <w:pPr>
              <w:pStyle w:val="TableParagraph"/>
              <w:ind w:left="7"/>
              <w:jc w:val="center"/>
              <w:rPr>
                <w:sz w:val="18"/>
              </w:rPr>
            </w:pPr>
            <w:r>
              <w:rPr>
                <w:sz w:val="18"/>
              </w:rPr>
              <w:t>1</w:t>
            </w:r>
          </w:p>
        </w:tc>
        <w:tc>
          <w:tcPr>
            <w:tcW w:w="1278" w:type="dxa"/>
          </w:tcPr>
          <w:p>
            <w:pPr>
              <w:pStyle w:val="TableParagraph"/>
              <w:spacing w:before="11"/>
              <w:ind w:left="0"/>
              <w:rPr>
                <w:b/>
                <w:sz w:val="26"/>
              </w:rPr>
            </w:pPr>
          </w:p>
          <w:p>
            <w:pPr>
              <w:pStyle w:val="TableParagraph"/>
              <w:ind w:left="308" w:right="304"/>
              <w:jc w:val="center"/>
              <w:rPr>
                <w:sz w:val="18"/>
              </w:rPr>
            </w:pPr>
            <w:r>
              <w:rPr>
                <w:sz w:val="18"/>
              </w:rPr>
              <w:t>Servicio</w:t>
            </w:r>
          </w:p>
        </w:tc>
        <w:tc>
          <w:tcPr>
            <w:tcW w:w="5500" w:type="dxa"/>
          </w:tcPr>
          <w:p>
            <w:pPr>
              <w:pStyle w:val="TableParagraph"/>
              <w:ind w:left="66" w:right="63"/>
              <w:jc w:val="both"/>
              <w:rPr>
                <w:sz w:val="18"/>
              </w:rPr>
            </w:pPr>
            <w:r>
              <w:rPr>
                <w:color w:val="2E2D2D"/>
                <w:sz w:val="18"/>
              </w:rPr>
              <w:t>Servicio de una Técnica y 8 jueces certificados por la Asociación de Actividades Gimnasticas Jaliscienses A.C. Los días 01 y 02 de junio de 2019 en el Salón de Usos Múltiples del CAT, en Tlajomulco de</w:t>
            </w:r>
          </w:p>
          <w:p>
            <w:pPr>
              <w:pStyle w:val="TableParagraph"/>
              <w:spacing w:line="209" w:lineRule="exact"/>
              <w:ind w:left="66"/>
              <w:rPr>
                <w:sz w:val="18"/>
              </w:rPr>
            </w:pPr>
            <w:r>
              <w:rPr>
                <w:color w:val="2E2D2D"/>
                <w:sz w:val="18"/>
              </w:rPr>
              <w:t>Zúñiga.</w:t>
            </w:r>
          </w:p>
        </w:tc>
      </w:tr>
      <w:tr>
        <w:trPr>
          <w:trHeight w:val="1144" w:hRule="atLeast"/>
        </w:trPr>
        <w:tc>
          <w:tcPr>
            <w:tcW w:w="924" w:type="dxa"/>
          </w:tcPr>
          <w:p>
            <w:pPr>
              <w:pStyle w:val="TableParagraph"/>
              <w:ind w:left="0"/>
              <w:rPr>
                <w:b/>
                <w:sz w:val="22"/>
              </w:rPr>
            </w:pPr>
          </w:p>
          <w:p>
            <w:pPr>
              <w:pStyle w:val="TableParagraph"/>
              <w:spacing w:before="177"/>
              <w:ind w:left="8"/>
              <w:jc w:val="center"/>
              <w:rPr>
                <w:sz w:val="18"/>
              </w:rPr>
            </w:pPr>
            <w:r>
              <w:rPr>
                <w:sz w:val="18"/>
              </w:rPr>
              <w:t>2</w:t>
            </w:r>
          </w:p>
        </w:tc>
        <w:tc>
          <w:tcPr>
            <w:tcW w:w="1217" w:type="dxa"/>
          </w:tcPr>
          <w:p>
            <w:pPr>
              <w:pStyle w:val="TableParagraph"/>
              <w:ind w:left="0"/>
              <w:rPr>
                <w:b/>
                <w:sz w:val="22"/>
              </w:rPr>
            </w:pPr>
          </w:p>
          <w:p>
            <w:pPr>
              <w:pStyle w:val="TableParagraph"/>
              <w:spacing w:before="177"/>
              <w:ind w:left="7"/>
              <w:jc w:val="center"/>
              <w:rPr>
                <w:sz w:val="18"/>
              </w:rPr>
            </w:pPr>
            <w:r>
              <w:rPr>
                <w:sz w:val="18"/>
              </w:rPr>
              <w:t>1</w:t>
            </w:r>
          </w:p>
        </w:tc>
        <w:tc>
          <w:tcPr>
            <w:tcW w:w="1278" w:type="dxa"/>
          </w:tcPr>
          <w:p>
            <w:pPr>
              <w:pStyle w:val="TableParagraph"/>
              <w:ind w:left="0"/>
              <w:rPr>
                <w:b/>
                <w:sz w:val="22"/>
              </w:rPr>
            </w:pPr>
          </w:p>
          <w:p>
            <w:pPr>
              <w:pStyle w:val="TableParagraph"/>
              <w:spacing w:before="177"/>
              <w:ind w:left="308" w:right="304"/>
              <w:jc w:val="center"/>
              <w:rPr>
                <w:sz w:val="18"/>
              </w:rPr>
            </w:pPr>
            <w:r>
              <w:rPr>
                <w:sz w:val="18"/>
              </w:rPr>
              <w:t>Servicio</w:t>
            </w:r>
          </w:p>
        </w:tc>
        <w:tc>
          <w:tcPr>
            <w:tcW w:w="5500" w:type="dxa"/>
          </w:tcPr>
          <w:p>
            <w:pPr>
              <w:pStyle w:val="TableParagraph"/>
              <w:spacing w:before="1"/>
              <w:ind w:left="66" w:right="63"/>
              <w:jc w:val="both"/>
              <w:rPr>
                <w:sz w:val="18"/>
              </w:rPr>
            </w:pPr>
            <w:r>
              <w:rPr>
                <w:color w:val="2E2D2D"/>
                <w:sz w:val="18"/>
              </w:rPr>
              <w:t>Servicio de 1 Maestro de Ceremonias, el cual tendrá que tener el conocimiento de niveles y actos protocolarios de acuerdo a lo establecido por la Asociación de Actividades Gimnasticas Jaliscienses A.C. . Los días 01 y 02 de junio de 2019 en el Salón de</w:t>
            </w:r>
          </w:p>
          <w:p>
            <w:pPr>
              <w:pStyle w:val="TableParagraph"/>
              <w:spacing w:line="208" w:lineRule="exact"/>
              <w:ind w:left="66"/>
              <w:jc w:val="both"/>
              <w:rPr>
                <w:sz w:val="18"/>
              </w:rPr>
            </w:pPr>
            <w:r>
              <w:rPr>
                <w:color w:val="2E2D2D"/>
                <w:sz w:val="18"/>
              </w:rPr>
              <w:t>Usos Múltiples del CAT, en Tlajomulco de Zúñiga.</w:t>
            </w:r>
          </w:p>
        </w:tc>
      </w:tr>
      <w:tr>
        <w:trPr>
          <w:trHeight w:val="917" w:hRule="atLeast"/>
        </w:trPr>
        <w:tc>
          <w:tcPr>
            <w:tcW w:w="924" w:type="dxa"/>
          </w:tcPr>
          <w:p>
            <w:pPr>
              <w:pStyle w:val="TableParagraph"/>
              <w:ind w:left="0"/>
              <w:rPr>
                <w:b/>
                <w:sz w:val="27"/>
              </w:rPr>
            </w:pPr>
          </w:p>
          <w:p>
            <w:pPr>
              <w:pStyle w:val="TableParagraph"/>
              <w:ind w:left="8"/>
              <w:jc w:val="center"/>
              <w:rPr>
                <w:sz w:val="18"/>
              </w:rPr>
            </w:pPr>
            <w:r>
              <w:rPr>
                <w:sz w:val="18"/>
              </w:rPr>
              <w:t>3</w:t>
            </w:r>
          </w:p>
        </w:tc>
        <w:tc>
          <w:tcPr>
            <w:tcW w:w="1217" w:type="dxa"/>
          </w:tcPr>
          <w:p>
            <w:pPr>
              <w:pStyle w:val="TableParagraph"/>
              <w:ind w:left="0"/>
              <w:rPr>
                <w:b/>
                <w:sz w:val="27"/>
              </w:rPr>
            </w:pPr>
          </w:p>
          <w:p>
            <w:pPr>
              <w:pStyle w:val="TableParagraph"/>
              <w:ind w:left="7"/>
              <w:jc w:val="center"/>
              <w:rPr>
                <w:sz w:val="18"/>
              </w:rPr>
            </w:pPr>
            <w:r>
              <w:rPr>
                <w:sz w:val="18"/>
              </w:rPr>
              <w:t>1</w:t>
            </w:r>
          </w:p>
        </w:tc>
        <w:tc>
          <w:tcPr>
            <w:tcW w:w="1278" w:type="dxa"/>
          </w:tcPr>
          <w:p>
            <w:pPr>
              <w:pStyle w:val="TableParagraph"/>
              <w:ind w:left="0"/>
              <w:rPr>
                <w:b/>
                <w:sz w:val="27"/>
              </w:rPr>
            </w:pPr>
          </w:p>
          <w:p>
            <w:pPr>
              <w:pStyle w:val="TableParagraph"/>
              <w:ind w:left="308" w:right="304"/>
              <w:jc w:val="center"/>
              <w:rPr>
                <w:sz w:val="18"/>
              </w:rPr>
            </w:pPr>
            <w:r>
              <w:rPr>
                <w:sz w:val="18"/>
              </w:rPr>
              <w:t>Servicio</w:t>
            </w:r>
          </w:p>
        </w:tc>
        <w:tc>
          <w:tcPr>
            <w:tcW w:w="5500" w:type="dxa"/>
          </w:tcPr>
          <w:p>
            <w:pPr>
              <w:pStyle w:val="TableParagraph"/>
              <w:spacing w:before="1"/>
              <w:ind w:left="66" w:right="63"/>
              <w:jc w:val="both"/>
              <w:rPr>
                <w:sz w:val="18"/>
              </w:rPr>
            </w:pPr>
            <w:r>
              <w:rPr>
                <w:color w:val="2E2D2D"/>
                <w:sz w:val="18"/>
              </w:rPr>
              <w:t>Servicio de Instalación de un par de barras asimétricas, mismas que deberán de instalarse el 31 de mayo y ser retiradas el 02 de junio de</w:t>
            </w:r>
            <w:r>
              <w:rPr>
                <w:color w:val="2E2D2D"/>
                <w:spacing w:val="12"/>
                <w:sz w:val="18"/>
              </w:rPr>
              <w:t> </w:t>
            </w:r>
            <w:r>
              <w:rPr>
                <w:color w:val="2E2D2D"/>
                <w:sz w:val="18"/>
              </w:rPr>
              <w:t>2019,</w:t>
            </w:r>
            <w:r>
              <w:rPr>
                <w:color w:val="2E2D2D"/>
                <w:spacing w:val="14"/>
                <w:sz w:val="18"/>
              </w:rPr>
              <w:t> </w:t>
            </w:r>
            <w:r>
              <w:rPr>
                <w:color w:val="2E2D2D"/>
                <w:sz w:val="18"/>
              </w:rPr>
              <w:t>en</w:t>
            </w:r>
            <w:r>
              <w:rPr>
                <w:color w:val="2E2D2D"/>
                <w:spacing w:val="12"/>
                <w:sz w:val="18"/>
              </w:rPr>
              <w:t> </w:t>
            </w:r>
            <w:r>
              <w:rPr>
                <w:color w:val="2E2D2D"/>
                <w:sz w:val="18"/>
              </w:rPr>
              <w:t>el</w:t>
            </w:r>
            <w:r>
              <w:rPr>
                <w:color w:val="2E2D2D"/>
                <w:spacing w:val="12"/>
                <w:sz w:val="18"/>
              </w:rPr>
              <w:t> </w:t>
            </w:r>
            <w:r>
              <w:rPr>
                <w:color w:val="2E2D2D"/>
                <w:sz w:val="18"/>
              </w:rPr>
              <w:t>Salón</w:t>
            </w:r>
            <w:r>
              <w:rPr>
                <w:color w:val="2E2D2D"/>
                <w:spacing w:val="12"/>
                <w:sz w:val="18"/>
              </w:rPr>
              <w:t> </w:t>
            </w:r>
            <w:r>
              <w:rPr>
                <w:color w:val="2E2D2D"/>
                <w:sz w:val="18"/>
              </w:rPr>
              <w:t>de</w:t>
            </w:r>
            <w:r>
              <w:rPr>
                <w:color w:val="2E2D2D"/>
                <w:spacing w:val="12"/>
                <w:sz w:val="18"/>
              </w:rPr>
              <w:t> </w:t>
            </w:r>
            <w:r>
              <w:rPr>
                <w:color w:val="2E2D2D"/>
                <w:sz w:val="18"/>
              </w:rPr>
              <w:t>Usos</w:t>
            </w:r>
            <w:r>
              <w:rPr>
                <w:color w:val="2E2D2D"/>
                <w:spacing w:val="13"/>
                <w:sz w:val="18"/>
              </w:rPr>
              <w:t> </w:t>
            </w:r>
            <w:r>
              <w:rPr>
                <w:color w:val="2E2D2D"/>
                <w:sz w:val="18"/>
              </w:rPr>
              <w:t>Múltiples</w:t>
            </w:r>
            <w:r>
              <w:rPr>
                <w:color w:val="2E2D2D"/>
                <w:spacing w:val="13"/>
                <w:sz w:val="18"/>
              </w:rPr>
              <w:t> </w:t>
            </w:r>
            <w:r>
              <w:rPr>
                <w:color w:val="2E2D2D"/>
                <w:sz w:val="18"/>
              </w:rPr>
              <w:t>del</w:t>
            </w:r>
            <w:r>
              <w:rPr>
                <w:color w:val="2E2D2D"/>
                <w:spacing w:val="15"/>
                <w:sz w:val="18"/>
              </w:rPr>
              <w:t> </w:t>
            </w:r>
            <w:r>
              <w:rPr>
                <w:color w:val="2E2D2D"/>
                <w:sz w:val="18"/>
              </w:rPr>
              <w:t>CAT,</w:t>
            </w:r>
            <w:r>
              <w:rPr>
                <w:color w:val="2E2D2D"/>
                <w:spacing w:val="12"/>
                <w:sz w:val="18"/>
              </w:rPr>
              <w:t> </w:t>
            </w:r>
            <w:r>
              <w:rPr>
                <w:color w:val="2E2D2D"/>
                <w:sz w:val="18"/>
              </w:rPr>
              <w:t>en</w:t>
            </w:r>
            <w:r>
              <w:rPr>
                <w:color w:val="2E2D2D"/>
                <w:spacing w:val="12"/>
                <w:sz w:val="18"/>
              </w:rPr>
              <w:t> </w:t>
            </w:r>
            <w:r>
              <w:rPr>
                <w:color w:val="2E2D2D"/>
                <w:sz w:val="18"/>
              </w:rPr>
              <w:t>Tlajomulco</w:t>
            </w:r>
            <w:r>
              <w:rPr>
                <w:color w:val="2E2D2D"/>
                <w:spacing w:val="13"/>
                <w:sz w:val="18"/>
              </w:rPr>
              <w:t> </w:t>
            </w:r>
            <w:r>
              <w:rPr>
                <w:color w:val="2E2D2D"/>
                <w:sz w:val="18"/>
              </w:rPr>
              <w:t>de</w:t>
            </w:r>
          </w:p>
          <w:p>
            <w:pPr>
              <w:pStyle w:val="TableParagraph"/>
              <w:spacing w:line="209" w:lineRule="exact"/>
              <w:ind w:left="66"/>
              <w:rPr>
                <w:sz w:val="18"/>
              </w:rPr>
            </w:pPr>
            <w:r>
              <w:rPr>
                <w:color w:val="2E2D2D"/>
                <w:sz w:val="18"/>
              </w:rPr>
              <w:t>Zúñiga.</w:t>
            </w:r>
          </w:p>
        </w:tc>
      </w:tr>
    </w:tbl>
    <w:p>
      <w:pPr>
        <w:pStyle w:val="BodyText"/>
        <w:spacing w:before="4"/>
        <w:ind w:left="0"/>
        <w:jc w:val="left"/>
        <w:rPr>
          <w:b/>
          <w:sz w:val="36"/>
        </w:rPr>
      </w:pPr>
    </w:p>
    <w:p>
      <w:pPr>
        <w:spacing w:line="276" w:lineRule="auto" w:before="0"/>
        <w:ind w:left="222" w:right="177" w:firstLine="0"/>
        <w:jc w:val="both"/>
        <w:rPr>
          <w:b/>
          <w:sz w:val="18"/>
        </w:rPr>
      </w:pPr>
      <w:r>
        <w:rPr>
          <w:b/>
          <w:sz w:val="18"/>
        </w:rPr>
        <w:t>Primera licitación publicada el día 03 de mayo de 2019 y vencida el día 13 de mayo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spacing w:after="0" w:line="276" w:lineRule="auto"/>
        <w:jc w:val="both"/>
        <w:rPr>
          <w:sz w:val="18"/>
        </w:rPr>
        <w:sectPr>
          <w:headerReference w:type="default" r:id="rId5"/>
          <w:footerReference w:type="default" r:id="rId6"/>
          <w:type w:val="continuous"/>
          <w:pgSz w:w="12240" w:h="15840"/>
          <w:pgMar w:header="312" w:footer="775" w:top="1320" w:bottom="960" w:left="1480" w:right="1520"/>
        </w:sectPr>
      </w:pPr>
    </w:p>
    <w:p>
      <w:pPr>
        <w:pStyle w:val="BodyText"/>
        <w:spacing w:line="278" w:lineRule="auto" w:before="89"/>
        <w:ind w:right="178"/>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3"/>
        <w:ind w:right="183"/>
      </w:pPr>
      <w:r>
        <w:rPr/>
        <w:t>La compra de lo adjudicado no será mayor de acuerdo con el tope presupuestal del ejercicio en curso.</w:t>
      </w:r>
    </w:p>
    <w:p>
      <w:pPr>
        <w:pStyle w:val="BodyText"/>
        <w:spacing w:line="278" w:lineRule="auto"/>
        <w:ind w:right="188" w:firstLine="55"/>
      </w:pPr>
      <w:r>
        <w:rPr/>
        <w:t>1.- Los invitamos a registrarse en nuestro Padrón de Proveedores, información al teléfono 32834400 ext. 3260</w:t>
      </w:r>
    </w:p>
    <w:p>
      <w:pPr>
        <w:pStyle w:val="BodyText"/>
        <w:spacing w:line="276" w:lineRule="auto"/>
        <w:ind w:right="183"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183"/>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1"/>
        <w:ind w:right="174"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177"/>
      </w:pPr>
      <w:r>
        <w:rPr/>
        <w:t>5.- El precio del bien o servicio objeto de la presente invitación, deberá estar especificado en moneda nacional, desglosando el I.V.A.</w:t>
      </w:r>
    </w:p>
    <w:p>
      <w:pPr>
        <w:pStyle w:val="BodyText"/>
        <w:spacing w:line="278" w:lineRule="auto"/>
        <w:ind w:right="187" w:firstLine="55"/>
      </w:pPr>
      <w:r>
        <w:rPr/>
        <w:t>6.- Detallar claramente las especificaciones de lo ofertado, el tiempo de entrega en días naturales y la garantía con la que cuentan.</w:t>
      </w:r>
    </w:p>
    <w:p>
      <w:pPr>
        <w:pStyle w:val="BodyText"/>
        <w:spacing w:line="278" w:lineRule="auto"/>
        <w:ind w:right="182"/>
      </w:pPr>
      <w:r>
        <w:rPr/>
        <w:t>7.- Los conceptos y partidas de la cotización deberán ser en el mismo orden que se establezcan en la convocatoria. Así como en la factura de quien resulte</w:t>
      </w:r>
      <w:r>
        <w:rPr>
          <w:spacing w:val="-6"/>
        </w:rPr>
        <w:t> </w:t>
      </w:r>
      <w:r>
        <w:rPr/>
        <w:t>adjudicado.</w:t>
      </w:r>
    </w:p>
    <w:p>
      <w:pPr>
        <w:pStyle w:val="BodyText"/>
        <w:spacing w:line="278" w:lineRule="auto"/>
        <w:ind w:right="184"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1"/>
        <w:ind w:right="177"/>
      </w:pPr>
      <w:r>
        <w:rPr/>
        <w:t>10.- En caso de obtener la adjudicación, se le notificará que los bienes o servicios objeto de la presente Licitación le podrán ser adjudicados de manera parcial o total.</w:t>
      </w:r>
    </w:p>
    <w:p>
      <w:pPr>
        <w:pStyle w:val="BodyText"/>
        <w:spacing w:line="278" w:lineRule="auto"/>
        <w:ind w:right="187"/>
      </w:pPr>
      <w:r>
        <w:rPr/>
        <w:t>11.- A manera de poder ser evaluada la propuesta, se DEBERÁ presentar ficha técnica, manuales, certificaciones y todos los documentos que comprueben la calidad ofertada.</w:t>
      </w:r>
    </w:p>
    <w:p>
      <w:pPr>
        <w:pStyle w:val="BodyText"/>
        <w:spacing w:line="276" w:lineRule="auto"/>
        <w:ind w:right="184"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w:t>
      </w:r>
    </w:p>
    <w:p>
      <w:pPr>
        <w:spacing w:after="0" w:line="276" w:lineRule="auto"/>
        <w:sectPr>
          <w:pgSz w:w="12240" w:h="15840"/>
          <w:pgMar w:header="312" w:footer="775" w:top="1320" w:bottom="960" w:left="1480" w:right="1520"/>
        </w:sectPr>
      </w:pPr>
    </w:p>
    <w:p>
      <w:pPr>
        <w:pStyle w:val="BodyText"/>
        <w:spacing w:line="278" w:lineRule="auto" w:before="89"/>
        <w:ind w:right="184"/>
      </w:pPr>
      <w:r>
        <w:rPr/>
        <w:t>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438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387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22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322" w:right="282"/>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7"/>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2021-10-21T16:41:41Z</dcterms:created>
  <dcterms:modified xsi:type="dcterms:W3CDTF">2021-10-21T16:41:41Z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Office Word 2007</vt:lpwstr>
  </property>
  <property fmtid="{D5CDD505-2E9C-101B-9397-08002B2CF9AE}" pid="4" name="LastSaved">
    <vt:filetime>2021-10-21T00:00:00Z</vt:filetime>
  </property>
</Properties>
</file>